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
      </w:pPr>
      <w:r>
        <w:rPr>
          <w:rFonts w:ascii="Calibri" w:cs="Calibri" w:eastAsia="Calibri" w:hAnsi="Calibri"/>
          <w:b/>
          <w:bCs/>
          <w:i w:val="false"/>
          <w:iCs w:val="false"/>
          <w:color w:val="0E1D36"/>
          <w:sz w:val="30"/>
          <w:szCs w:val="30"/>
        </w:rPr>
        <w:t xml:space="preserve">Document unique d'évaluation des risques professionnels</w:t>
      </w:r>
    </w:p>
    <w:p>
      <w:pPr>
        <w:spacing w:after="160"/>
      </w:pPr>
      <w:r>
        <w:rPr>
          <w:rFonts w:ascii="Calibri" w:cs="Calibri" w:eastAsia="Calibri" w:hAnsi="Calibri"/>
          <w:b w:val="false"/>
          <w:bCs w:val="false"/>
          <w:i w:val="false"/>
          <w:iCs w:val="false"/>
          <w:color w:val="6B7686"/>
          <w:sz w:val="20"/>
          <w:szCs w:val="20"/>
        </w:rPr>
        <w:t xml:space="preserve">DUERP · trame vierge à compléter</w:t>
      </w:r>
    </w:p>
    <w:tbl>
      <w:tblPr>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746"/>
      </w:tblGrid>
      <w:tr>
        <w:tc>
          <w:tcPr>
            <w:tcW w:type="dxa" w:w="9746"/>
            <w:tcBorders>
              <w:top w:val="none" w:color="FFFFFF" w:sz="0"/>
              <w:left w:val="single" w:color="2F6DF0" w:sz="26"/>
              <w:bottom w:val="none" w:color="FFFFFF" w:sz="0"/>
              <w:right w:val="none" w:color="FFFFFF" w:sz="0"/>
            </w:tcBorders>
            <w:shd w:fill="F5F8FE" w:color="auto" w:val="clear"/>
            <w:tcMar>
              <w:top w:type="dxa" w:w="110"/>
              <w:left w:type="dxa" w:w="150"/>
              <w:bottom w:type="dxa" w:w="110"/>
              <w:right w:type="dxa" w:w="150"/>
            </w:tcMar>
          </w:tcPr>
          <w:p>
            <w:pPr>
              <w:spacing w:after="40"/>
            </w:pPr>
            <w:r>
              <w:rPr>
                <w:rFonts w:ascii="Calibri" w:cs="Calibri" w:eastAsia="Calibri" w:hAnsi="Calibri"/>
                <w:b/>
                <w:bCs/>
                <w:i w:val="false"/>
                <w:iCs w:val="false"/>
                <w:color w:val="2F6DF0"/>
                <w:sz w:val="19"/>
                <w:szCs w:val="19"/>
              </w:rPr>
              <w:t xml:space="preserve">Comment utiliser cette trame</w:t>
            </w:r>
          </w:p>
          <w:p>
            <w:pPr>
              <w:spacing w:after="40"/>
            </w:pPr>
            <w:r>
              <w:rPr>
                <w:rFonts w:ascii="Calibri" w:cs="Calibri" w:eastAsia="Calibri" w:hAnsi="Calibri"/>
                <w:b w:val="false"/>
                <w:bCs w:val="false"/>
                <w:i w:val="false"/>
                <w:iCs w:val="false"/>
                <w:color w:val="3B475C"/>
                <w:sz w:val="18"/>
                <w:szCs w:val="18"/>
              </w:rPr>
              <w:t xml:space="preserve">Modèle conforme aux articles L4121-1 à L4121-4 et R4121-1 et suivants du Code du travail.</w:t>
            </w:r>
          </w:p>
          <w:p>
            <w:pPr>
              <w:spacing w:after="0"/>
            </w:pPr>
            <w:r>
              <w:rPr>
                <w:rFonts w:ascii="Calibri" w:cs="Calibri" w:eastAsia="Calibri" w:hAnsi="Calibri"/>
                <w:b w:val="false"/>
                <w:bCs w:val="false"/>
                <w:i w:val="false"/>
                <w:iCs w:val="false"/>
                <w:color w:val="3B475C"/>
                <w:sz w:val="18"/>
                <w:szCs w:val="18"/>
              </w:rPr>
              <w:t xml:space="preserve">Ce document doit être personnalisé selon l'activité réelle et les postes de l'entreprise. Une trame générique laissée en l'état n'a aucune valeur juridique.</w:t>
            </w:r>
          </w:p>
        </w:tc>
      </w:tr>
    </w:tbl>
    <w:p>
      <w:pPr>
        <w:spacing w:after="120"/>
      </w:pPr>
      <w:r>
        <w:rPr>
          <w:rFonts w:ascii="Calibri" w:cs="Calibri" w:eastAsia="Calibri" w:hAnsi="Calibri"/>
          <w:b w:val="false"/>
          <w:bCs w:val="false"/>
          <w:i w:val="false"/>
          <w:iCs w:val="false"/>
          <w:color w:val="27303F"/>
          <w:sz w:val="2"/>
          <w:szCs w:val="2"/>
        </w:rPr>
        <w:t xml:space="preserve"/>
      </w:r>
    </w:p>
    <w:p>
      <w:pPr>
        <w:pStyle w:val="Heading1"/>
        <w:spacing w:after="120" w:before="260"/>
      </w:pPr>
      <w:r>
        <w:rPr>
          <w:rFonts w:ascii="Calibri" w:cs="Calibri" w:eastAsia="Calibri" w:hAnsi="Calibri"/>
          <w:b/>
          <w:bCs/>
          <w:i w:val="false"/>
          <w:iCs w:val="false"/>
          <w:color w:val="1B3A6B"/>
          <w:sz w:val="24"/>
          <w:szCs w:val="24"/>
        </w:rPr>
        <w:t xml:space="preserve">1. Identification de l'entreprise</w:t>
      </w:r>
    </w:p>
    <w:tbl>
      <w:tblPr>
        <w:tblW w:type="dxa" w:w="9746"/>
        <w:tblBorders>
          <w:top w:val="single" w:color="C4CEDC" w:sz="4"/>
          <w:left w:val="single" w:color="C4CEDC" w:sz="4"/>
          <w:bottom w:val="single" w:color="C4CEDC" w:sz="4"/>
          <w:right w:val="single" w:color="C4CEDC" w:sz="4"/>
          <w:insideH w:val="single" w:color="C4CEDC" w:sz="4"/>
          <w:insideV w:val="single" w:color="C4CEDC" w:sz="4"/>
        </w:tblBorders>
        <w:tblLayout w:type="fixed"/>
      </w:tblPr>
      <w:tblGrid>
        <w:gridCol w:w="3400"/>
        <w:gridCol w:w="6346"/>
      </w:tblGrid>
      <w:tr>
        <w:trPr>
          <w:trHeight w:val="360" w:hRule="atLeast"/>
        </w:trPr>
        <w:tc>
          <w:tcPr>
            <w:tcW w:type="dxa" w:w="3400"/>
            <w:tcBorders>
              <w:top w:val="single" w:color="C4CEDC" w:sz="4"/>
              <w:left w:val="single" w:color="C4CEDC" w:sz="4"/>
              <w:bottom w:val="single" w:color="C4CEDC" w:sz="4"/>
              <w:right w:val="single" w:color="C4CEDC" w:sz="4"/>
            </w:tcBorders>
            <w:shd w:fill="EAF0F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0E1D36"/>
                <w:sz w:val="19"/>
                <w:szCs w:val="19"/>
              </w:rPr>
              <w:t xml:space="preserve">Raison sociale</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360" w:hRule="atLeast"/>
        </w:trPr>
        <w:tc>
          <w:tcPr>
            <w:tcW w:type="dxa" w:w="3400"/>
            <w:tcBorders>
              <w:top w:val="single" w:color="C4CEDC" w:sz="4"/>
              <w:left w:val="single" w:color="C4CEDC" w:sz="4"/>
              <w:bottom w:val="single" w:color="C4CEDC" w:sz="4"/>
              <w:right w:val="single" w:color="C4CEDC" w:sz="4"/>
            </w:tcBorders>
            <w:shd w:fill="EAF0F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0E1D36"/>
                <w:sz w:val="19"/>
                <w:szCs w:val="19"/>
              </w:rPr>
              <w:t xml:space="preserve">SIRET</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360" w:hRule="atLeast"/>
        </w:trPr>
        <w:tc>
          <w:tcPr>
            <w:tcW w:type="dxa" w:w="3400"/>
            <w:tcBorders>
              <w:top w:val="single" w:color="C4CEDC" w:sz="4"/>
              <w:left w:val="single" w:color="C4CEDC" w:sz="4"/>
              <w:bottom w:val="single" w:color="C4CEDC" w:sz="4"/>
              <w:right w:val="single" w:color="C4CEDC" w:sz="4"/>
            </w:tcBorders>
            <w:shd w:fill="EAF0F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0E1D36"/>
                <w:sz w:val="19"/>
                <w:szCs w:val="19"/>
              </w:rPr>
              <w:t xml:space="preserve">Adresse de l'établissement</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360" w:hRule="atLeast"/>
        </w:trPr>
        <w:tc>
          <w:tcPr>
            <w:tcW w:type="dxa" w:w="3400"/>
            <w:tcBorders>
              <w:top w:val="single" w:color="C4CEDC" w:sz="4"/>
              <w:left w:val="single" w:color="C4CEDC" w:sz="4"/>
              <w:bottom w:val="single" w:color="C4CEDC" w:sz="4"/>
              <w:right w:val="single" w:color="C4CEDC" w:sz="4"/>
            </w:tcBorders>
            <w:shd w:fill="EAF0F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0E1D36"/>
                <w:sz w:val="19"/>
                <w:szCs w:val="19"/>
              </w:rPr>
              <w:t xml:space="preserve">Activité (code APE / NAF)</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360" w:hRule="atLeast"/>
        </w:trPr>
        <w:tc>
          <w:tcPr>
            <w:tcW w:type="dxa" w:w="3400"/>
            <w:tcBorders>
              <w:top w:val="single" w:color="C4CEDC" w:sz="4"/>
              <w:left w:val="single" w:color="C4CEDC" w:sz="4"/>
              <w:bottom w:val="single" w:color="C4CEDC" w:sz="4"/>
              <w:right w:val="single" w:color="C4CEDC" w:sz="4"/>
            </w:tcBorders>
            <w:shd w:fill="EAF0F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0E1D36"/>
                <w:sz w:val="19"/>
                <w:szCs w:val="19"/>
              </w:rPr>
              <w:t xml:space="preserve">Effectif total</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360" w:hRule="atLeast"/>
        </w:trPr>
        <w:tc>
          <w:tcPr>
            <w:tcW w:type="dxa" w:w="3400"/>
            <w:tcBorders>
              <w:top w:val="single" w:color="C4CEDC" w:sz="4"/>
              <w:left w:val="single" w:color="C4CEDC" w:sz="4"/>
              <w:bottom w:val="single" w:color="C4CEDC" w:sz="4"/>
              <w:right w:val="single" w:color="C4CEDC" w:sz="4"/>
            </w:tcBorders>
            <w:shd w:fill="EAF0F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0E1D36"/>
                <w:sz w:val="19"/>
                <w:szCs w:val="19"/>
              </w:rPr>
              <w:t xml:space="preserve">Nombre d'unités de travail</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360" w:hRule="atLeast"/>
        </w:trPr>
        <w:tc>
          <w:tcPr>
            <w:tcW w:type="dxa" w:w="3400"/>
            <w:tcBorders>
              <w:top w:val="single" w:color="C4CEDC" w:sz="4"/>
              <w:left w:val="single" w:color="C4CEDC" w:sz="4"/>
              <w:bottom w:val="single" w:color="C4CEDC" w:sz="4"/>
              <w:right w:val="single" w:color="C4CEDC" w:sz="4"/>
            </w:tcBorders>
            <w:shd w:fill="EAF0F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0E1D36"/>
                <w:sz w:val="19"/>
                <w:szCs w:val="19"/>
              </w:rPr>
              <w:t xml:space="preserve">Responsable de l'évaluation</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360" w:hRule="atLeast"/>
        </w:trPr>
        <w:tc>
          <w:tcPr>
            <w:tcW w:type="dxa" w:w="3400"/>
            <w:tcBorders>
              <w:top w:val="single" w:color="C4CEDC" w:sz="4"/>
              <w:left w:val="single" w:color="C4CEDC" w:sz="4"/>
              <w:bottom w:val="single" w:color="C4CEDC" w:sz="4"/>
              <w:right w:val="single" w:color="C4CEDC" w:sz="4"/>
            </w:tcBorders>
            <w:shd w:fill="EAF0F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0E1D36"/>
                <w:sz w:val="19"/>
                <w:szCs w:val="19"/>
              </w:rPr>
              <w:t xml:space="preserve">Date d'élaboration</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360" w:hRule="atLeast"/>
        </w:trPr>
        <w:tc>
          <w:tcPr>
            <w:tcW w:type="dxa" w:w="3400"/>
            <w:tcBorders>
              <w:top w:val="single" w:color="C4CEDC" w:sz="4"/>
              <w:left w:val="single" w:color="C4CEDC" w:sz="4"/>
              <w:bottom w:val="single" w:color="C4CEDC" w:sz="4"/>
              <w:right w:val="single" w:color="C4CEDC" w:sz="4"/>
            </w:tcBorders>
            <w:shd w:fill="EAF0F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0E1D36"/>
                <w:sz w:val="19"/>
                <w:szCs w:val="19"/>
              </w:rPr>
              <w:t xml:space="preserve">Date de dernière mise à jour</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bl>
    <w:p>
      <w:pPr>
        <w:spacing w:after="90"/>
      </w:pPr>
      <w:r>
        <w:rPr>
          <w:rFonts w:ascii="Calibri" w:cs="Calibri" w:eastAsia="Calibri" w:hAnsi="Calibri"/>
          <w:b w:val="false"/>
          <w:bCs w:val="false"/>
          <w:i w:val="false"/>
          <w:iCs w:val="false"/>
          <w:color w:val="27303F"/>
          <w:sz w:val="2"/>
          <w:szCs w:val="2"/>
        </w:rPr>
        <w:t xml:space="preserve"/>
      </w:r>
    </w:p>
    <w:tbl>
      <w:tblPr>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746"/>
      </w:tblGrid>
      <w:tr>
        <w:tc>
          <w:tcPr>
            <w:tcW w:type="dxa" w:w="9746"/>
            <w:tcBorders>
              <w:top w:val="none" w:color="FFFFFF" w:sz="0"/>
              <w:left w:val="single" w:color="2F6DF0" w:sz="26"/>
              <w:bottom w:val="none" w:color="FFFFFF" w:sz="0"/>
              <w:right w:val="none" w:color="FFFFFF" w:sz="0"/>
            </w:tcBorders>
            <w:shd w:fill="EAF0FB" w:color="auto" w:val="clear"/>
            <w:tcMar>
              <w:top w:type="dxa" w:w="110"/>
              <w:left w:type="dxa" w:w="150"/>
              <w:bottom w:type="dxa" w:w="110"/>
              <w:right w:type="dxa" w:w="150"/>
            </w:tcMar>
          </w:tcPr>
          <w:p>
            <w:pPr>
              <w:spacing w:after="0"/>
            </w:pPr>
            <w:r>
              <w:rPr>
                <w:rFonts w:ascii="Calibri" w:cs="Calibri" w:eastAsia="Calibri" w:hAnsi="Calibri"/>
                <w:b w:val="false"/>
                <w:bCs w:val="false"/>
                <w:i w:val="false"/>
                <w:iCs w:val="false"/>
                <w:color w:val="3B475C"/>
                <w:sz w:val="18"/>
                <w:szCs w:val="18"/>
              </w:rPr>
              <w:t xml:space="preserve">Le DUERP est obligatoire dès l'embauche du premier salarié, quel que soit l'effectif ou le secteur d'activité.</w:t>
            </w:r>
          </w:p>
        </w:tc>
      </w:tr>
    </w:tbl>
    <w:p>
      <w:pPr>
        <w:pStyle w:val="Heading1"/>
        <w:spacing w:after="120" w:before="260"/>
      </w:pPr>
      <w:r>
        <w:rPr>
          <w:rFonts w:ascii="Calibri" w:cs="Calibri" w:eastAsia="Calibri" w:hAnsi="Calibri"/>
          <w:b/>
          <w:bCs/>
          <w:i w:val="false"/>
          <w:iCs w:val="false"/>
          <w:color w:val="1B3A6B"/>
          <w:sz w:val="24"/>
          <w:szCs w:val="24"/>
        </w:rPr>
        <w:t xml:space="preserve">2. Suivi et mises à jour du document</w:t>
      </w:r>
    </w:p>
    <w:tbl>
      <w:tblPr>
        <w:tblW w:type="dxa" w:w="9746"/>
        <w:tblBorders>
          <w:top w:val="single" w:color="C4CEDC" w:sz="4"/>
          <w:left w:val="single" w:color="C4CEDC" w:sz="4"/>
          <w:bottom w:val="single" w:color="C4CEDC" w:sz="4"/>
          <w:right w:val="single" w:color="C4CEDC" w:sz="4"/>
          <w:insideH w:val="single" w:color="C4CEDC" w:sz="4"/>
          <w:insideV w:val="single" w:color="C4CEDC" w:sz="4"/>
        </w:tblBorders>
        <w:tblLayout w:type="fixed"/>
      </w:tblPr>
      <w:tblGrid>
        <w:gridCol w:w="1400"/>
        <w:gridCol w:w="1800"/>
        <w:gridCol w:w="4346"/>
        <w:gridCol w:w="2200"/>
      </w:tblGrid>
      <w:tr>
        <w:trPr>
          <w:tblHeader/>
        </w:trPr>
        <w:tc>
          <w:tcPr>
            <w:tcW w:type="dxa" w:w="14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Version</w:t>
            </w:r>
          </w:p>
        </w:tc>
        <w:tc>
          <w:tcPr>
            <w:tcW w:type="dxa" w:w="18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Date</w:t>
            </w:r>
          </w:p>
        </w:tc>
        <w:tc>
          <w:tcPr>
            <w:tcW w:type="dxa" w:w="4346"/>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Nature de la mise à jour</w:t>
            </w:r>
          </w:p>
        </w:tc>
        <w:tc>
          <w:tcPr>
            <w:tcW w:type="dxa" w:w="22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Responsable</w:t>
            </w:r>
          </w:p>
        </w:tc>
      </w:tr>
      <w:tr>
        <w:trPr>
          <w:trHeight w:val="360" w:hRule="atLeast"/>
        </w:trPr>
        <w:tc>
          <w:tcPr>
            <w:tcW w:type="dxa" w:w="1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V1</w:t>
            </w:r>
          </w:p>
        </w:tc>
        <w:tc>
          <w:tcPr>
            <w:tcW w:type="dxa" w:w="1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[date]</w:t>
            </w:r>
          </w:p>
        </w:tc>
        <w:tc>
          <w:tcPr>
            <w:tcW w:type="dxa" w:w="4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Élaboration initiale (exemple à remplacer)</w:t>
            </w:r>
          </w:p>
        </w:tc>
        <w:tc>
          <w:tcPr>
            <w:tcW w:type="dxa" w:w="2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[nom]</w:t>
            </w:r>
          </w:p>
        </w:tc>
      </w:tr>
      <w:tr>
        <w:trPr>
          <w:trHeight w:val="400" w:hRule="atLeast"/>
        </w:trPr>
        <w:tc>
          <w:tcPr>
            <w:tcW w:type="dxa" w:w="1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400" w:hRule="atLeast"/>
        </w:trPr>
        <w:tc>
          <w:tcPr>
            <w:tcW w:type="dxa" w:w="1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400" w:hRule="atLeast"/>
        </w:trPr>
        <w:tc>
          <w:tcPr>
            <w:tcW w:type="dxa" w:w="1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bl>
    <w:p>
      <w:pPr>
        <w:spacing w:after="90"/>
      </w:pPr>
      <w:r>
        <w:rPr>
          <w:rFonts w:ascii="Calibri" w:cs="Calibri" w:eastAsia="Calibri" w:hAnsi="Calibri"/>
          <w:b w:val="false"/>
          <w:bCs w:val="false"/>
          <w:i w:val="false"/>
          <w:iCs w:val="false"/>
          <w:color w:val="27303F"/>
          <w:sz w:val="2"/>
          <w:szCs w:val="2"/>
        </w:rPr>
        <w:t xml:space="preserve"/>
      </w:r>
    </w:p>
    <w:tbl>
      <w:tblPr>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746"/>
      </w:tblGrid>
      <w:tr>
        <w:tc>
          <w:tcPr>
            <w:tcW w:type="dxa" w:w="9746"/>
            <w:tcBorders>
              <w:top w:val="none" w:color="FFFFFF" w:sz="0"/>
              <w:left w:val="single" w:color="2F6DF0" w:sz="26"/>
              <w:bottom w:val="none" w:color="FFFFFF" w:sz="0"/>
              <w:right w:val="none" w:color="FFFFFF" w:sz="0"/>
            </w:tcBorders>
            <w:shd w:fill="F5F8FE" w:color="auto" w:val="clear"/>
            <w:tcMar>
              <w:top w:type="dxa" w:w="110"/>
              <w:left w:type="dxa" w:w="150"/>
              <w:bottom w:type="dxa" w:w="110"/>
              <w:right w:type="dxa" w:w="150"/>
            </w:tcMar>
          </w:tcPr>
          <w:p>
            <w:pPr>
              <w:spacing w:after="40"/>
            </w:pPr>
            <w:r>
              <w:rPr>
                <w:rFonts w:ascii="Calibri" w:cs="Calibri" w:eastAsia="Calibri" w:hAnsi="Calibri"/>
                <w:b w:val="false"/>
                <w:bCs w:val="false"/>
                <w:i w:val="false"/>
                <w:iCs w:val="false"/>
                <w:color w:val="3B475C"/>
                <w:sz w:val="18"/>
                <w:szCs w:val="18"/>
              </w:rPr>
              <w:t xml:space="preserve">Chaque version successive du DUERP se conserve au minimum 40 ans (loi du 2 août 2021).</w:t>
            </w:r>
          </w:p>
          <w:p>
            <w:pPr>
              <w:spacing w:after="0"/>
            </w:pPr>
            <w:r>
              <w:rPr>
                <w:rFonts w:ascii="Calibri" w:cs="Calibri" w:eastAsia="Calibri" w:hAnsi="Calibri"/>
                <w:b w:val="false"/>
                <w:bCs w:val="false"/>
                <w:i w:val="false"/>
                <w:iCs w:val="false"/>
                <w:color w:val="3B475C"/>
                <w:sz w:val="18"/>
                <w:szCs w:val="18"/>
              </w:rPr>
              <w:t xml:space="preserve">Mise à jour au moins annuelle pour les entreprises d'au moins 11 salariés, et à chaque aménagement important des conditions de travail ou information nouvelle sur un risque. On ne remplace jamais l'ancienne version : on la date et on l'archive.</w:t>
            </w:r>
          </w:p>
        </w:tc>
      </w:tr>
    </w:tbl>
    <w:p>
      <w:pPr>
        <w:pStyle w:val="Heading1"/>
        <w:spacing w:after="120" w:before="260"/>
      </w:pPr>
      <w:r>
        <w:rPr>
          <w:rFonts w:ascii="Calibri" w:cs="Calibri" w:eastAsia="Calibri" w:hAnsi="Calibri"/>
          <w:b/>
          <w:bCs/>
          <w:i w:val="false"/>
          <w:iCs w:val="false"/>
          <w:color w:val="1B3A6B"/>
          <w:sz w:val="24"/>
          <w:szCs w:val="24"/>
        </w:rPr>
        <w:t xml:space="preserve">3. Méthode d'évaluation des risques</w:t>
      </w:r>
    </w:p>
    <w:p>
      <w:pPr>
        <w:spacing w:after="80"/>
      </w:pPr>
      <w:r>
        <w:rPr>
          <w:rFonts w:ascii="Calibri" w:cs="Calibri" w:eastAsia="Calibri" w:hAnsi="Calibri"/>
          <w:b w:val="false"/>
          <w:bCs w:val="false"/>
          <w:i w:val="false"/>
          <w:iCs w:val="false"/>
          <w:color w:val="27303F"/>
          <w:sz w:val="20"/>
          <w:szCs w:val="20"/>
        </w:rPr>
        <w:t xml:space="preserve">Chaque risque est coté en croisant sa gravité (G) et sa fréquence d'exposition (F). Le niveau de risque est le produit G × F. Il fixe l'ordre de priorité du plan d'actions.</w:t>
      </w:r>
    </w:p>
    <w:p>
      <w:pPr>
        <w:spacing w:after="60"/>
      </w:pPr>
      <w:r>
        <w:rPr>
          <w:rFonts w:ascii="Calibri" w:cs="Calibri" w:eastAsia="Calibri" w:hAnsi="Calibri"/>
          <w:b w:val="false"/>
          <w:bCs w:val="false"/>
          <w:i w:val="false"/>
          <w:iCs w:val="false"/>
          <w:color w:val="27303F"/>
          <w:sz w:val="2"/>
          <w:szCs w:val="2"/>
        </w:rPr>
        <w:t xml:space="preserve"/>
      </w:r>
    </w:p>
    <w:p>
      <w:pPr>
        <w:spacing w:after="60"/>
      </w:pPr>
      <w:r>
        <w:rPr>
          <w:rFonts w:ascii="Calibri" w:cs="Calibri" w:eastAsia="Calibri" w:hAnsi="Calibri"/>
          <w:b/>
          <w:bCs/>
          <w:i w:val="false"/>
          <w:iCs w:val="false"/>
          <w:color w:val="0E1D36"/>
          <w:sz w:val="20"/>
          <w:szCs w:val="20"/>
        </w:rPr>
        <w:t xml:space="preserve">Échelle de gravité (G)</w:t>
      </w:r>
    </w:p>
    <w:tbl>
      <w:tblPr>
        <w:tblW w:type="dxa" w:w="9746"/>
        <w:tblBorders>
          <w:top w:val="single" w:color="C4CEDC" w:sz="4"/>
          <w:left w:val="single" w:color="C4CEDC" w:sz="4"/>
          <w:bottom w:val="single" w:color="C4CEDC" w:sz="4"/>
          <w:right w:val="single" w:color="C4CEDC" w:sz="4"/>
          <w:insideH w:val="single" w:color="C4CEDC" w:sz="4"/>
          <w:insideV w:val="single" w:color="C4CEDC" w:sz="4"/>
        </w:tblBorders>
        <w:tblLayout w:type="fixed"/>
      </w:tblPr>
      <w:tblGrid>
        <w:gridCol w:w="1000"/>
        <w:gridCol w:w="2400"/>
        <w:gridCol w:w="6346"/>
      </w:tblGrid>
      <w:tr>
        <w:trPr>
          <w:tblHeader/>
        </w:trPr>
        <w:tc>
          <w:tcPr>
            <w:tcW w:type="dxa" w:w="10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FFFFFF"/>
                <w:sz w:val="18"/>
                <w:szCs w:val="18"/>
              </w:rPr>
              <w:t xml:space="preserve">Niveau</w:t>
            </w:r>
          </w:p>
        </w:tc>
        <w:tc>
          <w:tcPr>
            <w:tcW w:type="dxa" w:w="24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Libellé</w:t>
            </w:r>
          </w:p>
        </w:tc>
        <w:tc>
          <w:tcPr>
            <w:tcW w:type="dxa" w:w="6346"/>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Définition</w:t>
            </w:r>
          </w:p>
        </w:tc>
      </w:tr>
      <w:tr>
        <w:tc>
          <w:tcPr>
            <w:tcW w:type="dxa" w:w="10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B3A6B"/>
                <w:sz w:val="19"/>
                <w:szCs w:val="19"/>
              </w:rPr>
              <w:t xml:space="preserve">G4</w:t>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27303F"/>
                <w:sz w:val="19"/>
                <w:szCs w:val="19"/>
              </w:rPr>
              <w:t xml:space="preserve">Très grave</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Décès ou incapacité permanente lourde.</w:t>
            </w:r>
          </w:p>
        </w:tc>
      </w:tr>
      <w:tr>
        <w:tc>
          <w:tcPr>
            <w:tcW w:type="dxa" w:w="10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B3A6B"/>
                <w:sz w:val="19"/>
                <w:szCs w:val="19"/>
              </w:rPr>
              <w:t xml:space="preserve">G3</w:t>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27303F"/>
                <w:sz w:val="19"/>
                <w:szCs w:val="19"/>
              </w:rPr>
              <w:t xml:space="preserve">Grave</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Accident avec arrêt de travail, incapacité partielle.</w:t>
            </w:r>
          </w:p>
        </w:tc>
      </w:tr>
      <w:tr>
        <w:tc>
          <w:tcPr>
            <w:tcW w:type="dxa" w:w="10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B3A6B"/>
                <w:sz w:val="19"/>
                <w:szCs w:val="19"/>
              </w:rPr>
              <w:t xml:space="preserve">G2</w:t>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27303F"/>
                <w:sz w:val="19"/>
                <w:szCs w:val="19"/>
              </w:rPr>
              <w:t xml:space="preserve">Moyenne</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Accident sans arrêt, soins bénins.</w:t>
            </w:r>
          </w:p>
        </w:tc>
      </w:tr>
      <w:tr>
        <w:tc>
          <w:tcPr>
            <w:tcW w:type="dxa" w:w="10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B3A6B"/>
                <w:sz w:val="19"/>
                <w:szCs w:val="19"/>
              </w:rPr>
              <w:t xml:space="preserve">G1</w:t>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27303F"/>
                <w:sz w:val="19"/>
                <w:szCs w:val="19"/>
              </w:rPr>
              <w:t xml:space="preserve">Faible</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Gêne ou inconfort, sans lésion.</w:t>
            </w:r>
          </w:p>
        </w:tc>
      </w:tr>
    </w:tbl>
    <w:p>
      <w:pPr>
        <w:spacing w:after="80"/>
      </w:pPr>
      <w:r>
        <w:rPr>
          <w:rFonts w:ascii="Calibri" w:cs="Calibri" w:eastAsia="Calibri" w:hAnsi="Calibri"/>
          <w:b w:val="false"/>
          <w:bCs w:val="false"/>
          <w:i w:val="false"/>
          <w:iCs w:val="false"/>
          <w:color w:val="27303F"/>
          <w:sz w:val="2"/>
          <w:szCs w:val="2"/>
        </w:rPr>
        <w:t xml:space="preserve"/>
      </w:r>
    </w:p>
    <w:p>
      <w:pPr>
        <w:spacing w:after="60"/>
      </w:pPr>
      <w:r>
        <w:rPr>
          <w:rFonts w:ascii="Calibri" w:cs="Calibri" w:eastAsia="Calibri" w:hAnsi="Calibri"/>
          <w:b/>
          <w:bCs/>
          <w:i w:val="false"/>
          <w:iCs w:val="false"/>
          <w:color w:val="0E1D36"/>
          <w:sz w:val="20"/>
          <w:szCs w:val="20"/>
        </w:rPr>
        <w:t xml:space="preserve">Échelle de fréquence (F)</w:t>
      </w:r>
    </w:p>
    <w:tbl>
      <w:tblPr>
        <w:tblW w:type="dxa" w:w="9746"/>
        <w:tblBorders>
          <w:top w:val="single" w:color="C4CEDC" w:sz="4"/>
          <w:left w:val="single" w:color="C4CEDC" w:sz="4"/>
          <w:bottom w:val="single" w:color="C4CEDC" w:sz="4"/>
          <w:right w:val="single" w:color="C4CEDC" w:sz="4"/>
          <w:insideH w:val="single" w:color="C4CEDC" w:sz="4"/>
          <w:insideV w:val="single" w:color="C4CEDC" w:sz="4"/>
        </w:tblBorders>
        <w:tblLayout w:type="fixed"/>
      </w:tblPr>
      <w:tblGrid>
        <w:gridCol w:w="1000"/>
        <w:gridCol w:w="2400"/>
        <w:gridCol w:w="6346"/>
      </w:tblGrid>
      <w:tr>
        <w:trPr>
          <w:tblHeader/>
        </w:trPr>
        <w:tc>
          <w:tcPr>
            <w:tcW w:type="dxa" w:w="10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FFFFFF"/>
                <w:sz w:val="18"/>
                <w:szCs w:val="18"/>
              </w:rPr>
              <w:t xml:space="preserve">Niveau</w:t>
            </w:r>
          </w:p>
        </w:tc>
        <w:tc>
          <w:tcPr>
            <w:tcW w:type="dxa" w:w="24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Libellé</w:t>
            </w:r>
          </w:p>
        </w:tc>
        <w:tc>
          <w:tcPr>
            <w:tcW w:type="dxa" w:w="6346"/>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Définition</w:t>
            </w:r>
          </w:p>
        </w:tc>
      </w:tr>
      <w:tr>
        <w:tc>
          <w:tcPr>
            <w:tcW w:type="dxa" w:w="10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B3A6B"/>
                <w:sz w:val="19"/>
                <w:szCs w:val="19"/>
              </w:rPr>
              <w:t xml:space="preserve">F4</w:t>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27303F"/>
                <w:sz w:val="19"/>
                <w:szCs w:val="19"/>
              </w:rPr>
              <w:t xml:space="preserve">Permanente</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Exposition continue au poste.</w:t>
            </w:r>
          </w:p>
        </w:tc>
      </w:tr>
      <w:tr>
        <w:tc>
          <w:tcPr>
            <w:tcW w:type="dxa" w:w="10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B3A6B"/>
                <w:sz w:val="19"/>
                <w:szCs w:val="19"/>
              </w:rPr>
              <w:t xml:space="preserve">F3</w:t>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27303F"/>
                <w:sz w:val="19"/>
                <w:szCs w:val="19"/>
              </w:rPr>
              <w:t xml:space="preserve">Fréquente</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Plusieurs fois par jour.</w:t>
            </w:r>
          </w:p>
        </w:tc>
      </w:tr>
      <w:tr>
        <w:tc>
          <w:tcPr>
            <w:tcW w:type="dxa" w:w="10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B3A6B"/>
                <w:sz w:val="19"/>
                <w:szCs w:val="19"/>
              </w:rPr>
              <w:t xml:space="preserve">F2</w:t>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27303F"/>
                <w:sz w:val="19"/>
                <w:szCs w:val="19"/>
              </w:rPr>
              <w:t xml:space="preserve">Occasionnelle</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Quelques fois par mois.</w:t>
            </w:r>
          </w:p>
        </w:tc>
      </w:tr>
      <w:tr>
        <w:tc>
          <w:tcPr>
            <w:tcW w:type="dxa" w:w="10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B3A6B"/>
                <w:sz w:val="19"/>
                <w:szCs w:val="19"/>
              </w:rPr>
              <w:t xml:space="preserve">F1</w:t>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27303F"/>
                <w:sz w:val="19"/>
                <w:szCs w:val="19"/>
              </w:rPr>
              <w:t xml:space="preserve">Rare</w:t>
            </w:r>
          </w:p>
        </w:tc>
        <w:tc>
          <w:tcPr>
            <w:tcW w:type="dxa" w:w="63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Exposition exceptionnelle.</w:t>
            </w:r>
          </w:p>
        </w:tc>
      </w:tr>
    </w:tbl>
    <w:p>
      <w:pPr>
        <w:spacing w:after="80"/>
      </w:pPr>
      <w:r>
        <w:rPr>
          <w:rFonts w:ascii="Calibri" w:cs="Calibri" w:eastAsia="Calibri" w:hAnsi="Calibri"/>
          <w:b w:val="false"/>
          <w:bCs w:val="false"/>
          <w:i w:val="false"/>
          <w:iCs w:val="false"/>
          <w:color w:val="27303F"/>
          <w:sz w:val="2"/>
          <w:szCs w:val="2"/>
        </w:rPr>
        <w:t xml:space="preserve"/>
      </w:r>
    </w:p>
    <w:p>
      <w:pPr>
        <w:spacing w:after="60"/>
      </w:pPr>
      <w:r>
        <w:rPr>
          <w:rFonts w:ascii="Calibri" w:cs="Calibri" w:eastAsia="Calibri" w:hAnsi="Calibri"/>
          <w:b/>
          <w:bCs/>
          <w:i w:val="false"/>
          <w:iCs w:val="false"/>
          <w:color w:val="0E1D36"/>
          <w:sz w:val="20"/>
          <w:szCs w:val="20"/>
        </w:rPr>
        <w:t xml:space="preserve">Grille de cotation (niveau = G × F)</w:t>
      </w:r>
    </w:p>
    <w:tbl>
      <w:tblPr>
        <w:tblW w:type="dxa" w:w="9746"/>
        <w:tblBorders>
          <w:top w:val="single" w:color="C4CEDC" w:sz="4"/>
          <w:left w:val="single" w:color="C4CEDC" w:sz="4"/>
          <w:bottom w:val="single" w:color="C4CEDC" w:sz="4"/>
          <w:right w:val="single" w:color="C4CEDC" w:sz="4"/>
          <w:insideH w:val="single" w:color="C4CEDC" w:sz="4"/>
          <w:insideV w:val="single" w:color="C4CEDC" w:sz="4"/>
        </w:tblBorders>
        <w:tblLayout w:type="fixed"/>
      </w:tblPr>
      <w:tblGrid>
        <w:gridCol w:w="1946"/>
        <w:gridCol w:w="1950"/>
        <w:gridCol w:w="1950"/>
        <w:gridCol w:w="1950"/>
        <w:gridCol w:w="1950"/>
      </w:tblGrid>
      <w:tr>
        <w:trPr>
          <w:tblHeader/>
        </w:trPr>
        <w:tc>
          <w:tcPr>
            <w:tcW w:type="dxa" w:w="1946"/>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FFFFFF"/>
                <w:sz w:val="16"/>
                <w:szCs w:val="16"/>
              </w:rPr>
              <w:t xml:space="preserve">G \ F</w:t>
            </w:r>
          </w:p>
        </w:tc>
        <w:tc>
          <w:tcPr>
            <w:tcW w:type="dxa" w:w="195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FFFFFF"/>
                <w:sz w:val="16"/>
                <w:szCs w:val="16"/>
              </w:rPr>
              <w:t xml:space="preserve">F1 Rare</w:t>
            </w:r>
          </w:p>
        </w:tc>
        <w:tc>
          <w:tcPr>
            <w:tcW w:type="dxa" w:w="195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FFFFFF"/>
                <w:sz w:val="16"/>
                <w:szCs w:val="16"/>
              </w:rPr>
              <w:t xml:space="preserve">F2 Occas.</w:t>
            </w:r>
          </w:p>
        </w:tc>
        <w:tc>
          <w:tcPr>
            <w:tcW w:type="dxa" w:w="195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FFFFFF"/>
                <w:sz w:val="16"/>
                <w:szCs w:val="16"/>
              </w:rPr>
              <w:t xml:space="preserve">F3 Fréq.</w:t>
            </w:r>
          </w:p>
        </w:tc>
        <w:tc>
          <w:tcPr>
            <w:tcW w:type="dxa" w:w="195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FFFFFF"/>
                <w:sz w:val="16"/>
                <w:szCs w:val="16"/>
              </w:rPr>
              <w:t xml:space="preserve">F4 Perm.</w:t>
            </w:r>
          </w:p>
        </w:tc>
      </w:tr>
      <w:tr>
        <w:tc>
          <w:tcPr>
            <w:tcW w:type="dxa" w:w="1946"/>
            <w:tcBorders>
              <w:top w:val="single" w:color="C4CEDC" w:sz="4"/>
              <w:left w:val="single" w:color="C4CEDC" w:sz="4"/>
              <w:bottom w:val="single" w:color="C4CEDC" w:sz="4"/>
              <w:right w:val="single" w:color="C4CEDC" w:sz="4"/>
            </w:tcBorders>
            <w:shd w:fill="EAF0F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B3A6B"/>
                <w:sz w:val="19"/>
                <w:szCs w:val="19"/>
              </w:rPr>
              <w:t xml:space="preserve">G4</w:t>
            </w:r>
          </w:p>
        </w:tc>
        <w:tc>
          <w:tcPr>
            <w:tcW w:type="dxa" w:w="1950"/>
            <w:tcBorders>
              <w:top w:val="single" w:color="C4CEDC" w:sz="4"/>
              <w:left w:val="single" w:color="C4CEDC" w:sz="4"/>
              <w:bottom w:val="single" w:color="C4CEDC" w:sz="4"/>
              <w:right w:val="single" w:color="C4CEDC" w:sz="4"/>
            </w:tcBorders>
            <w:shd w:fill="FBF1D3"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8A6D1A"/>
                <w:sz w:val="19"/>
                <w:szCs w:val="19"/>
              </w:rPr>
              <w:t xml:space="preserve">4</w:t>
            </w:r>
          </w:p>
        </w:tc>
        <w:tc>
          <w:tcPr>
            <w:tcW w:type="dxa" w:w="1950"/>
            <w:tcBorders>
              <w:top w:val="single" w:color="C4CEDC" w:sz="4"/>
              <w:left w:val="single" w:color="C4CEDC" w:sz="4"/>
              <w:bottom w:val="single" w:color="C4CEDC" w:sz="4"/>
              <w:right w:val="single" w:color="C4CEDC" w:sz="4"/>
            </w:tcBorders>
            <w:shd w:fill="FBE7D6"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B4531B"/>
                <w:sz w:val="19"/>
                <w:szCs w:val="19"/>
              </w:rPr>
              <w:t xml:space="preserve">8</w:t>
            </w:r>
          </w:p>
        </w:tc>
        <w:tc>
          <w:tcPr>
            <w:tcW w:type="dxa" w:w="1950"/>
            <w:tcBorders>
              <w:top w:val="single" w:color="C4CEDC" w:sz="4"/>
              <w:left w:val="single" w:color="C4CEDC" w:sz="4"/>
              <w:bottom w:val="single" w:color="C4CEDC" w:sz="4"/>
              <w:right w:val="single" w:color="C4CEDC" w:sz="4"/>
            </w:tcBorders>
            <w:shd w:fill="FBE0D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C0492F"/>
                <w:sz w:val="19"/>
                <w:szCs w:val="19"/>
              </w:rPr>
              <w:t xml:space="preserve">12</w:t>
            </w:r>
          </w:p>
        </w:tc>
        <w:tc>
          <w:tcPr>
            <w:tcW w:type="dxa" w:w="1950"/>
            <w:tcBorders>
              <w:top w:val="single" w:color="C4CEDC" w:sz="4"/>
              <w:left w:val="single" w:color="C4CEDC" w:sz="4"/>
              <w:bottom w:val="single" w:color="C4CEDC" w:sz="4"/>
              <w:right w:val="single" w:color="C4CEDC" w:sz="4"/>
            </w:tcBorders>
            <w:shd w:fill="FBE0D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C0492F"/>
                <w:sz w:val="19"/>
                <w:szCs w:val="19"/>
              </w:rPr>
              <w:t xml:space="preserve">16</w:t>
            </w:r>
          </w:p>
        </w:tc>
      </w:tr>
      <w:tr>
        <w:tc>
          <w:tcPr>
            <w:tcW w:type="dxa" w:w="1946"/>
            <w:tcBorders>
              <w:top w:val="single" w:color="C4CEDC" w:sz="4"/>
              <w:left w:val="single" w:color="C4CEDC" w:sz="4"/>
              <w:bottom w:val="single" w:color="C4CEDC" w:sz="4"/>
              <w:right w:val="single" w:color="C4CEDC" w:sz="4"/>
            </w:tcBorders>
            <w:shd w:fill="EAF0F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B3A6B"/>
                <w:sz w:val="19"/>
                <w:szCs w:val="19"/>
              </w:rPr>
              <w:t xml:space="preserve">G3</w:t>
            </w:r>
          </w:p>
        </w:tc>
        <w:tc>
          <w:tcPr>
            <w:tcW w:type="dxa" w:w="1950"/>
            <w:tcBorders>
              <w:top w:val="single" w:color="C4CEDC" w:sz="4"/>
              <w:left w:val="single" w:color="C4CEDC" w:sz="4"/>
              <w:bottom w:val="single" w:color="C4CEDC" w:sz="4"/>
              <w:right w:val="single" w:color="C4CEDC" w:sz="4"/>
            </w:tcBorders>
            <w:shd w:fill="E7F5EC"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E7A46"/>
                <w:sz w:val="19"/>
                <w:szCs w:val="19"/>
              </w:rPr>
              <w:t xml:space="preserve">3</w:t>
            </w:r>
          </w:p>
        </w:tc>
        <w:tc>
          <w:tcPr>
            <w:tcW w:type="dxa" w:w="1950"/>
            <w:tcBorders>
              <w:top w:val="single" w:color="C4CEDC" w:sz="4"/>
              <w:left w:val="single" w:color="C4CEDC" w:sz="4"/>
              <w:bottom w:val="single" w:color="C4CEDC" w:sz="4"/>
              <w:right w:val="single" w:color="C4CEDC" w:sz="4"/>
            </w:tcBorders>
            <w:shd w:fill="FBF1D3"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8A6D1A"/>
                <w:sz w:val="19"/>
                <w:szCs w:val="19"/>
              </w:rPr>
              <w:t xml:space="preserve">6</w:t>
            </w:r>
          </w:p>
        </w:tc>
        <w:tc>
          <w:tcPr>
            <w:tcW w:type="dxa" w:w="1950"/>
            <w:tcBorders>
              <w:top w:val="single" w:color="C4CEDC" w:sz="4"/>
              <w:left w:val="single" w:color="C4CEDC" w:sz="4"/>
              <w:bottom w:val="single" w:color="C4CEDC" w:sz="4"/>
              <w:right w:val="single" w:color="C4CEDC" w:sz="4"/>
            </w:tcBorders>
            <w:shd w:fill="FBE7D6"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B4531B"/>
                <w:sz w:val="19"/>
                <w:szCs w:val="19"/>
              </w:rPr>
              <w:t xml:space="preserve">9</w:t>
            </w:r>
          </w:p>
        </w:tc>
        <w:tc>
          <w:tcPr>
            <w:tcW w:type="dxa" w:w="1950"/>
            <w:tcBorders>
              <w:top w:val="single" w:color="C4CEDC" w:sz="4"/>
              <w:left w:val="single" w:color="C4CEDC" w:sz="4"/>
              <w:bottom w:val="single" w:color="C4CEDC" w:sz="4"/>
              <w:right w:val="single" w:color="C4CEDC" w:sz="4"/>
            </w:tcBorders>
            <w:shd w:fill="FBE0D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C0492F"/>
                <w:sz w:val="19"/>
                <w:szCs w:val="19"/>
              </w:rPr>
              <w:t xml:space="preserve">12</w:t>
            </w:r>
          </w:p>
        </w:tc>
      </w:tr>
      <w:tr>
        <w:tc>
          <w:tcPr>
            <w:tcW w:type="dxa" w:w="1946"/>
            <w:tcBorders>
              <w:top w:val="single" w:color="C4CEDC" w:sz="4"/>
              <w:left w:val="single" w:color="C4CEDC" w:sz="4"/>
              <w:bottom w:val="single" w:color="C4CEDC" w:sz="4"/>
              <w:right w:val="single" w:color="C4CEDC" w:sz="4"/>
            </w:tcBorders>
            <w:shd w:fill="EAF0F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B3A6B"/>
                <w:sz w:val="19"/>
                <w:szCs w:val="19"/>
              </w:rPr>
              <w:t xml:space="preserve">G2</w:t>
            </w:r>
          </w:p>
        </w:tc>
        <w:tc>
          <w:tcPr>
            <w:tcW w:type="dxa" w:w="1950"/>
            <w:tcBorders>
              <w:top w:val="single" w:color="C4CEDC" w:sz="4"/>
              <w:left w:val="single" w:color="C4CEDC" w:sz="4"/>
              <w:bottom w:val="single" w:color="C4CEDC" w:sz="4"/>
              <w:right w:val="single" w:color="C4CEDC" w:sz="4"/>
            </w:tcBorders>
            <w:shd w:fill="E7F5EC"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E7A46"/>
                <w:sz w:val="19"/>
                <w:szCs w:val="19"/>
              </w:rPr>
              <w:t xml:space="preserve">2</w:t>
            </w:r>
          </w:p>
        </w:tc>
        <w:tc>
          <w:tcPr>
            <w:tcW w:type="dxa" w:w="1950"/>
            <w:tcBorders>
              <w:top w:val="single" w:color="C4CEDC" w:sz="4"/>
              <w:left w:val="single" w:color="C4CEDC" w:sz="4"/>
              <w:bottom w:val="single" w:color="C4CEDC" w:sz="4"/>
              <w:right w:val="single" w:color="C4CEDC" w:sz="4"/>
            </w:tcBorders>
            <w:shd w:fill="FBF1D3"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8A6D1A"/>
                <w:sz w:val="19"/>
                <w:szCs w:val="19"/>
              </w:rPr>
              <w:t xml:space="preserve">4</w:t>
            </w:r>
          </w:p>
        </w:tc>
        <w:tc>
          <w:tcPr>
            <w:tcW w:type="dxa" w:w="1950"/>
            <w:tcBorders>
              <w:top w:val="single" w:color="C4CEDC" w:sz="4"/>
              <w:left w:val="single" w:color="C4CEDC" w:sz="4"/>
              <w:bottom w:val="single" w:color="C4CEDC" w:sz="4"/>
              <w:right w:val="single" w:color="C4CEDC" w:sz="4"/>
            </w:tcBorders>
            <w:shd w:fill="FBF1D3"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8A6D1A"/>
                <w:sz w:val="19"/>
                <w:szCs w:val="19"/>
              </w:rPr>
              <w:t xml:space="preserve">6</w:t>
            </w:r>
          </w:p>
        </w:tc>
        <w:tc>
          <w:tcPr>
            <w:tcW w:type="dxa" w:w="1950"/>
            <w:tcBorders>
              <w:top w:val="single" w:color="C4CEDC" w:sz="4"/>
              <w:left w:val="single" w:color="C4CEDC" w:sz="4"/>
              <w:bottom w:val="single" w:color="C4CEDC" w:sz="4"/>
              <w:right w:val="single" w:color="C4CEDC" w:sz="4"/>
            </w:tcBorders>
            <w:shd w:fill="FBE7D6"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B4531B"/>
                <w:sz w:val="19"/>
                <w:szCs w:val="19"/>
              </w:rPr>
              <w:t xml:space="preserve">8</w:t>
            </w:r>
          </w:p>
        </w:tc>
      </w:tr>
      <w:tr>
        <w:tc>
          <w:tcPr>
            <w:tcW w:type="dxa" w:w="1946"/>
            <w:tcBorders>
              <w:top w:val="single" w:color="C4CEDC" w:sz="4"/>
              <w:left w:val="single" w:color="C4CEDC" w:sz="4"/>
              <w:bottom w:val="single" w:color="C4CEDC" w:sz="4"/>
              <w:right w:val="single" w:color="C4CEDC" w:sz="4"/>
            </w:tcBorders>
            <w:shd w:fill="EAF0F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B3A6B"/>
                <w:sz w:val="19"/>
                <w:szCs w:val="19"/>
              </w:rPr>
              <w:t xml:space="preserve">G1</w:t>
            </w:r>
          </w:p>
        </w:tc>
        <w:tc>
          <w:tcPr>
            <w:tcW w:type="dxa" w:w="1950"/>
            <w:tcBorders>
              <w:top w:val="single" w:color="C4CEDC" w:sz="4"/>
              <w:left w:val="single" w:color="C4CEDC" w:sz="4"/>
              <w:bottom w:val="single" w:color="C4CEDC" w:sz="4"/>
              <w:right w:val="single" w:color="C4CEDC" w:sz="4"/>
            </w:tcBorders>
            <w:shd w:fill="E7F5EC"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E7A46"/>
                <w:sz w:val="19"/>
                <w:szCs w:val="19"/>
              </w:rPr>
              <w:t xml:space="preserve">1</w:t>
            </w:r>
          </w:p>
        </w:tc>
        <w:tc>
          <w:tcPr>
            <w:tcW w:type="dxa" w:w="1950"/>
            <w:tcBorders>
              <w:top w:val="single" w:color="C4CEDC" w:sz="4"/>
              <w:left w:val="single" w:color="C4CEDC" w:sz="4"/>
              <w:bottom w:val="single" w:color="C4CEDC" w:sz="4"/>
              <w:right w:val="single" w:color="C4CEDC" w:sz="4"/>
            </w:tcBorders>
            <w:shd w:fill="E7F5EC"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E7A46"/>
                <w:sz w:val="19"/>
                <w:szCs w:val="19"/>
              </w:rPr>
              <w:t xml:space="preserve">2</w:t>
            </w:r>
          </w:p>
        </w:tc>
        <w:tc>
          <w:tcPr>
            <w:tcW w:type="dxa" w:w="1950"/>
            <w:tcBorders>
              <w:top w:val="single" w:color="C4CEDC" w:sz="4"/>
              <w:left w:val="single" w:color="C4CEDC" w:sz="4"/>
              <w:bottom w:val="single" w:color="C4CEDC" w:sz="4"/>
              <w:right w:val="single" w:color="C4CEDC" w:sz="4"/>
            </w:tcBorders>
            <w:shd w:fill="E7F5EC"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E7A46"/>
                <w:sz w:val="19"/>
                <w:szCs w:val="19"/>
              </w:rPr>
              <w:t xml:space="preserve">3</w:t>
            </w:r>
          </w:p>
        </w:tc>
        <w:tc>
          <w:tcPr>
            <w:tcW w:type="dxa" w:w="1950"/>
            <w:tcBorders>
              <w:top w:val="single" w:color="C4CEDC" w:sz="4"/>
              <w:left w:val="single" w:color="C4CEDC" w:sz="4"/>
              <w:bottom w:val="single" w:color="C4CEDC" w:sz="4"/>
              <w:right w:val="single" w:color="C4CEDC" w:sz="4"/>
            </w:tcBorders>
            <w:shd w:fill="FBF1D3"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8A6D1A"/>
                <w:sz w:val="19"/>
                <w:szCs w:val="19"/>
              </w:rPr>
              <w:t xml:space="preserve">4</w:t>
            </w:r>
          </w:p>
        </w:tc>
      </w:tr>
    </w:tbl>
    <w:p>
      <w:pPr>
        <w:spacing w:after="50"/>
      </w:pPr>
      <w:r>
        <w:rPr>
          <w:rFonts w:ascii="Calibri" w:cs="Calibri" w:eastAsia="Calibri" w:hAnsi="Calibri"/>
          <w:b w:val="false"/>
          <w:bCs w:val="false"/>
          <w:i w:val="false"/>
          <w:iCs w:val="false"/>
          <w:color w:val="27303F"/>
          <w:sz w:val="2"/>
          <w:szCs w:val="2"/>
        </w:rPr>
        <w:t xml:space="preserve"/>
      </w:r>
    </w:p>
    <w:tbl>
      <w:tblPr>
        <w:tblW w:type="dxa" w:w="9746"/>
        <w:tblBorders>
          <w:top w:val="single" w:color="C4CEDC" w:sz="4"/>
          <w:left w:val="single" w:color="C4CEDC" w:sz="4"/>
          <w:bottom w:val="single" w:color="C4CEDC" w:sz="4"/>
          <w:right w:val="single" w:color="C4CEDC" w:sz="4"/>
          <w:insideH w:val="single" w:color="C4CEDC" w:sz="4"/>
          <w:insideV w:val="single" w:color="C4CEDC" w:sz="4"/>
        </w:tblBorders>
        <w:tblLayout w:type="fixed"/>
      </w:tblPr>
      <w:tblGrid>
        <w:gridCol w:w="2436"/>
        <w:gridCol w:w="2436"/>
        <w:gridCol w:w="2437"/>
        <w:gridCol w:w="2437"/>
      </w:tblGrid>
      <w:tr>
        <w:tc>
          <w:tcPr>
            <w:tcW w:type="dxa" w:w="2436"/>
            <w:tcBorders>
              <w:top w:val="single" w:color="C4CEDC" w:sz="4"/>
              <w:left w:val="single" w:color="C4CEDC" w:sz="4"/>
              <w:bottom w:val="single" w:color="C4CEDC" w:sz="4"/>
              <w:right w:val="single" w:color="C4CEDC" w:sz="4"/>
            </w:tcBorders>
            <w:shd w:fill="E7F5EC"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1E7A46"/>
                <w:sz w:val="17"/>
                <w:szCs w:val="17"/>
              </w:rPr>
              <w:t xml:space="preserve">Faible : 1 à 3</w:t>
            </w:r>
          </w:p>
        </w:tc>
        <w:tc>
          <w:tcPr>
            <w:tcW w:type="dxa" w:w="2436"/>
            <w:tcBorders>
              <w:top w:val="single" w:color="C4CEDC" w:sz="4"/>
              <w:left w:val="single" w:color="C4CEDC" w:sz="4"/>
              <w:bottom w:val="single" w:color="C4CEDC" w:sz="4"/>
              <w:right w:val="single" w:color="C4CEDC" w:sz="4"/>
            </w:tcBorders>
            <w:shd w:fill="FBF1D3"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8A6D1A"/>
                <w:sz w:val="17"/>
                <w:szCs w:val="17"/>
              </w:rPr>
              <w:t xml:space="preserve">Moyen : 4 à 6</w:t>
            </w:r>
          </w:p>
        </w:tc>
        <w:tc>
          <w:tcPr>
            <w:tcW w:type="dxa" w:w="2437"/>
            <w:tcBorders>
              <w:top w:val="single" w:color="C4CEDC" w:sz="4"/>
              <w:left w:val="single" w:color="C4CEDC" w:sz="4"/>
              <w:bottom w:val="single" w:color="C4CEDC" w:sz="4"/>
              <w:right w:val="single" w:color="C4CEDC" w:sz="4"/>
            </w:tcBorders>
            <w:shd w:fill="FBE7D6"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B4531B"/>
                <w:sz w:val="17"/>
                <w:szCs w:val="17"/>
              </w:rPr>
              <w:t xml:space="preserve">Élevé : 8 à 9</w:t>
            </w:r>
          </w:p>
        </w:tc>
        <w:tc>
          <w:tcPr>
            <w:tcW w:type="dxa" w:w="2437"/>
            <w:tcBorders>
              <w:top w:val="single" w:color="C4CEDC" w:sz="4"/>
              <w:left w:val="single" w:color="C4CEDC" w:sz="4"/>
              <w:bottom w:val="single" w:color="C4CEDC" w:sz="4"/>
              <w:right w:val="single" w:color="C4CEDC" w:sz="4"/>
            </w:tcBorders>
            <w:shd w:fill="FBE0D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C0492F"/>
                <w:sz w:val="17"/>
                <w:szCs w:val="17"/>
              </w:rPr>
              <w:t xml:space="preserve">Prioritaire : 12 à 16</w:t>
            </w:r>
          </w:p>
        </w:tc>
      </w:tr>
    </w:tbl>
    <w:p>
      <w:pPr>
        <w:pStyle w:val="Heading1"/>
        <w:spacing w:after="120" w:before="260"/>
      </w:pPr>
      <w:r>
        <w:rPr>
          <w:rFonts w:ascii="Calibri" w:cs="Calibri" w:eastAsia="Calibri" w:hAnsi="Calibri"/>
          <w:b/>
          <w:bCs/>
          <w:i w:val="false"/>
          <w:iCs w:val="false"/>
          <w:color w:val="1B3A6B"/>
          <w:sz w:val="24"/>
          <w:szCs w:val="24"/>
        </w:rPr>
        <w:t xml:space="preserve">4. Découpage en unités de travail</w:t>
      </w:r>
    </w:p>
    <w:p>
      <w:pPr>
        <w:spacing w:after="80"/>
      </w:pPr>
      <w:r>
        <w:rPr>
          <w:rFonts w:ascii="Calibri" w:cs="Calibri" w:eastAsia="Calibri" w:hAnsi="Calibri"/>
          <w:b w:val="false"/>
          <w:bCs w:val="false"/>
          <w:i w:val="false"/>
          <w:iCs w:val="false"/>
          <w:color w:val="27303F"/>
          <w:sz w:val="20"/>
          <w:szCs w:val="20"/>
        </w:rPr>
        <w:t xml:space="preserve">Une unité de travail regroupe les postes exposés aux mêmes risques (un service, un atelier, une équipe type). Ce découpage évite de répéter les mêmes lignes et structure toute l'évaluation.</w:t>
      </w:r>
    </w:p>
    <w:p>
      <w:pPr>
        <w:spacing w:after="60"/>
      </w:pPr>
      <w:r>
        <w:rPr>
          <w:rFonts w:ascii="Calibri" w:cs="Calibri" w:eastAsia="Calibri" w:hAnsi="Calibri"/>
          <w:b w:val="false"/>
          <w:bCs w:val="false"/>
          <w:i w:val="false"/>
          <w:iCs w:val="false"/>
          <w:color w:val="27303F"/>
          <w:sz w:val="2"/>
          <w:szCs w:val="2"/>
        </w:rPr>
        <w:t xml:space="preserve"/>
      </w:r>
    </w:p>
    <w:tbl>
      <w:tblPr>
        <w:tblW w:type="dxa" w:w="9746"/>
        <w:tblBorders>
          <w:top w:val="single" w:color="C4CEDC" w:sz="4"/>
          <w:left w:val="single" w:color="C4CEDC" w:sz="4"/>
          <w:bottom w:val="single" w:color="C4CEDC" w:sz="4"/>
          <w:right w:val="single" w:color="C4CEDC" w:sz="4"/>
          <w:insideH w:val="single" w:color="C4CEDC" w:sz="4"/>
          <w:insideV w:val="single" w:color="C4CEDC" w:sz="4"/>
        </w:tblBorders>
        <w:tblLayout w:type="fixed"/>
      </w:tblPr>
      <w:tblGrid>
        <w:gridCol w:w="2600"/>
        <w:gridCol w:w="5146"/>
        <w:gridCol w:w="2000"/>
      </w:tblGrid>
      <w:tr>
        <w:trPr>
          <w:tblHeader/>
        </w:trPr>
        <w:tc>
          <w:tcPr>
            <w:tcW w:type="dxa" w:w="26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Unité de travail</w:t>
            </w:r>
          </w:p>
        </w:tc>
        <w:tc>
          <w:tcPr>
            <w:tcW w:type="dxa" w:w="5146"/>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Description / postes concernés</w:t>
            </w:r>
          </w:p>
        </w:tc>
        <w:tc>
          <w:tcPr>
            <w:tcW w:type="dxa" w:w="20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FFFFFF"/>
                <w:sz w:val="18"/>
                <w:szCs w:val="18"/>
              </w:rPr>
              <w:t xml:space="preserve">Effectif</w:t>
            </w:r>
          </w:p>
        </w:tc>
      </w:tr>
      <w:tr>
        <w:trPr>
          <w:trHeight w:val="360" w:hRule="atLeast"/>
        </w:trPr>
        <w:tc>
          <w:tcPr>
            <w:tcW w:type="dxa" w:w="2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Administratif / bureau</w:t>
            </w:r>
          </w:p>
        </w:tc>
        <w:tc>
          <w:tcPr>
            <w:tcW w:type="dxa" w:w="51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Postes sur écran, accueil, gestion (exemple à adapter)</w:t>
            </w:r>
          </w:p>
        </w:tc>
        <w:tc>
          <w:tcPr>
            <w:tcW w:type="dxa" w:w="20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400" w:hRule="atLeast"/>
        </w:trPr>
        <w:tc>
          <w:tcPr>
            <w:tcW w:type="dxa" w:w="2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51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0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400" w:hRule="atLeast"/>
        </w:trPr>
        <w:tc>
          <w:tcPr>
            <w:tcW w:type="dxa" w:w="2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51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0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400" w:hRule="atLeast"/>
        </w:trPr>
        <w:tc>
          <w:tcPr>
            <w:tcW w:type="dxa" w:w="2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51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0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400" w:hRule="atLeast"/>
        </w:trPr>
        <w:tc>
          <w:tcPr>
            <w:tcW w:type="dxa" w:w="2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5146"/>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0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bl>
    <w:p>
      <w:pPr>
        <w:sectPr>
          <w:footerReference w:type="default" r:id="rId7"/>
          <w:pgSz w:w="11906" w:h="16838" w:orient="portrait"/>
          <w:pgMar w:top="1080" w:right="1080" w:bottom="1080" w:left="1080" w:header="708" w:footer="708" w:gutter="0"/>
          <w:pgNumType/>
          <w:docGrid w:linePitch="360"/>
        </w:sectPr>
      </w:pPr>
    </w:p>
    <w:p>
      <w:pPr>
        <w:pStyle w:val="Heading1"/>
        <w:spacing w:after="120" w:before="260"/>
      </w:pPr>
      <w:r>
        <w:rPr>
          <w:rFonts w:ascii="Calibri" w:cs="Calibri" w:eastAsia="Calibri" w:hAnsi="Calibri"/>
          <w:b/>
          <w:bCs/>
          <w:i w:val="false"/>
          <w:iCs w:val="false"/>
          <w:color w:val="1B3A6B"/>
          <w:sz w:val="24"/>
          <w:szCs w:val="24"/>
        </w:rPr>
        <w:t xml:space="preserve">5. Inventaire et évaluation des risques par unité de travail</w:t>
      </w:r>
    </w:p>
    <w:p>
      <w:pPr>
        <w:spacing w:after="80"/>
      </w:pPr>
      <w:r>
        <w:rPr>
          <w:rFonts w:ascii="Calibri" w:cs="Calibri" w:eastAsia="Calibri" w:hAnsi="Calibri"/>
          <w:b w:val="false"/>
          <w:bCs w:val="false"/>
          <w:i w:val="false"/>
          <w:iCs w:val="false"/>
          <w:color w:val="27303F"/>
          <w:sz w:val="20"/>
          <w:szCs w:val="20"/>
        </w:rPr>
        <w:t xml:space="preserve">Pour chaque unité, lister les dangers et situations dangereuses, le risque associé, puis coter (G, F, niveau) et indiquer les mesures de prévention déjà en place. Couvrir tous les risques : physiques, chimiques, biologiques, psychosociaux, troubles musculo-squelettiques, thermiques (dont canicule) et liés au télétravail.</w:t>
      </w:r>
    </w:p>
    <w:p>
      <w:pPr>
        <w:spacing w:after="70"/>
      </w:pPr>
      <w:r>
        <w:rPr>
          <w:rFonts w:ascii="Calibri" w:cs="Calibri" w:eastAsia="Calibri" w:hAnsi="Calibri"/>
          <w:b w:val="false"/>
          <w:bCs w:val="false"/>
          <w:i w:val="false"/>
          <w:iCs w:val="false"/>
          <w:color w:val="27303F"/>
          <w:sz w:val="2"/>
          <w:szCs w:val="2"/>
        </w:rPr>
        <w:t xml:space="preserve"/>
      </w:r>
    </w:p>
    <w:tbl>
      <w:tblPr>
        <w:tblW w:type="dxa" w:w="14678"/>
        <w:tblBorders>
          <w:top w:val="single" w:color="C4CEDC" w:sz="4"/>
          <w:left w:val="single" w:color="C4CEDC" w:sz="4"/>
          <w:bottom w:val="single" w:color="C4CEDC" w:sz="4"/>
          <w:right w:val="single" w:color="C4CEDC" w:sz="4"/>
          <w:insideH w:val="single" w:color="C4CEDC" w:sz="4"/>
          <w:insideV w:val="single" w:color="C4CEDC" w:sz="4"/>
        </w:tblBorders>
        <w:tblLayout w:type="fixed"/>
      </w:tblPr>
      <w:tblGrid>
        <w:gridCol w:w="1600"/>
        <w:gridCol w:w="2900"/>
        <w:gridCol w:w="2400"/>
        <w:gridCol w:w="800"/>
        <w:gridCol w:w="800"/>
        <w:gridCol w:w="1400"/>
        <w:gridCol w:w="4778"/>
      </w:tblGrid>
      <w:tr>
        <w:trPr>
          <w:tblHeader/>
        </w:trPr>
        <w:tc>
          <w:tcPr>
            <w:tcW w:type="dxa" w:w="16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Unité de travail</w:t>
            </w:r>
          </w:p>
        </w:tc>
        <w:tc>
          <w:tcPr>
            <w:tcW w:type="dxa" w:w="29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Danger / situation dangereuse</w:t>
            </w:r>
          </w:p>
        </w:tc>
        <w:tc>
          <w:tcPr>
            <w:tcW w:type="dxa" w:w="24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Risque associé</w:t>
            </w:r>
          </w:p>
        </w:tc>
        <w:tc>
          <w:tcPr>
            <w:tcW w:type="dxa" w:w="8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FFFFFF"/>
                <w:sz w:val="18"/>
                <w:szCs w:val="18"/>
              </w:rPr>
              <w:t xml:space="preserve">G</w:t>
            </w:r>
          </w:p>
        </w:tc>
        <w:tc>
          <w:tcPr>
            <w:tcW w:type="dxa" w:w="8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FFFFFF"/>
                <w:sz w:val="18"/>
                <w:szCs w:val="18"/>
              </w:rPr>
              <w:t xml:space="preserve">F</w:t>
            </w:r>
          </w:p>
        </w:tc>
        <w:tc>
          <w:tcPr>
            <w:tcW w:type="dxa" w:w="14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FFFFFF"/>
                <w:sz w:val="18"/>
                <w:szCs w:val="18"/>
              </w:rPr>
              <w:t xml:space="preserve">Niveau</w:t>
            </w:r>
          </w:p>
        </w:tc>
        <w:tc>
          <w:tcPr>
            <w:tcW w:type="dxa" w:w="4778"/>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Mesures de prévention existantes</w:t>
            </w:r>
          </w:p>
        </w:tc>
      </w:tr>
      <w:tr>
        <w:trPr>
          <w:trHeight w:val="520" w:hRule="atLeast"/>
        </w:trPr>
        <w:tc>
          <w:tcPr>
            <w:tcW w:type="dxa" w:w="1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Bureau</w:t>
            </w:r>
          </w:p>
        </w:tc>
        <w:tc>
          <w:tcPr>
            <w:tcW w:type="dxa" w:w="29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Travail prolongé sur écran</w:t>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Fatigue visuelle, TMS (nuque, poignets)</w:t>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center"/>
            </w:pPr>
            <w:r>
              <w:rPr>
                <w:rFonts w:ascii="Calibri" w:cs="Calibri" w:eastAsia="Calibri" w:hAnsi="Calibri"/>
                <w:b w:val="false"/>
                <w:bCs w:val="false"/>
                <w:i/>
                <w:iCs/>
                <w:color w:val="6B7686"/>
                <w:sz w:val="19"/>
                <w:szCs w:val="19"/>
              </w:rPr>
              <w:t xml:space="preserve">2</w:t>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center"/>
            </w:pPr>
            <w:r>
              <w:rPr>
                <w:rFonts w:ascii="Calibri" w:cs="Calibri" w:eastAsia="Calibri" w:hAnsi="Calibri"/>
                <w:b w:val="false"/>
                <w:bCs w:val="false"/>
                <w:i/>
                <w:iCs/>
                <w:color w:val="6B7686"/>
                <w:sz w:val="19"/>
                <w:szCs w:val="19"/>
              </w:rPr>
              <w:t xml:space="preserve">3</w:t>
            </w:r>
          </w:p>
        </w:tc>
        <w:tc>
          <w:tcPr>
            <w:tcW w:type="dxa" w:w="1400"/>
            <w:tcBorders>
              <w:top w:val="single" w:color="C4CEDC" w:sz="4"/>
              <w:left w:val="single" w:color="C4CEDC" w:sz="4"/>
              <w:bottom w:val="single" w:color="C4CEDC" w:sz="4"/>
              <w:right w:val="single" w:color="C4CEDC" w:sz="4"/>
            </w:tcBorders>
            <w:shd w:fill="FBF1D3" w:color="auto" w:val="clear"/>
            <w:tcMar>
              <w:top w:type="dxa" w:w="60"/>
              <w:left w:type="dxa" w:w="100"/>
              <w:bottom w:type="dxa" w:w="60"/>
              <w:right w:type="dxa" w:w="100"/>
            </w:tcMar>
            <w:vAlign w:val="center"/>
          </w:tcPr>
          <w:p>
            <w:pPr>
              <w:spacing w:after="0"/>
              <w:jc w:val="center"/>
            </w:pPr>
            <w:r>
              <w:rPr>
                <w:rFonts w:ascii="Calibri" w:cs="Calibri" w:eastAsia="Calibri" w:hAnsi="Calibri"/>
                <w:b/>
                <w:bCs/>
                <w:i w:val="false"/>
                <w:iCs w:val="false"/>
                <w:color w:val="8A6D1A"/>
                <w:sz w:val="19"/>
                <w:szCs w:val="19"/>
              </w:rPr>
              <w:t xml:space="preserve">6</w:t>
            </w:r>
            <w:r>
              <w:rPr>
                <w:rFonts w:ascii="Calibri" w:cs="Calibri" w:eastAsia="Calibri" w:hAnsi="Calibri"/>
                <w:b w:val="false"/>
                <w:bCs w:val="false"/>
                <w:i/>
                <w:iCs/>
                <w:color w:val="6B7686"/>
                <w:sz w:val="16"/>
                <w:szCs w:val="16"/>
              </w:rPr>
              <w:t xml:space="preserve"> (Moyen)</w:t>
            </w:r>
          </w:p>
        </w:tc>
        <w:tc>
          <w:tcPr>
            <w:tcW w:type="dxa" w:w="47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Écrans réglables, pauses régulières, éclairage adapté (exemple à remplacer)</w:t>
            </w:r>
          </w:p>
        </w:tc>
      </w:tr>
      <w:tr>
        <w:trPr>
          <w:trHeight w:val="520" w:hRule="atLeast"/>
        </w:trPr>
        <w:tc>
          <w:tcPr>
            <w:tcW w:type="dxa" w:w="1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7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520" w:hRule="atLeast"/>
        </w:trPr>
        <w:tc>
          <w:tcPr>
            <w:tcW w:type="dxa" w:w="1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7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520" w:hRule="atLeast"/>
        </w:trPr>
        <w:tc>
          <w:tcPr>
            <w:tcW w:type="dxa" w:w="1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7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520" w:hRule="atLeast"/>
        </w:trPr>
        <w:tc>
          <w:tcPr>
            <w:tcW w:type="dxa" w:w="1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7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520" w:hRule="atLeast"/>
        </w:trPr>
        <w:tc>
          <w:tcPr>
            <w:tcW w:type="dxa" w:w="1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7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520" w:hRule="atLeast"/>
        </w:trPr>
        <w:tc>
          <w:tcPr>
            <w:tcW w:type="dxa" w:w="1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7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520" w:hRule="atLeast"/>
        </w:trPr>
        <w:tc>
          <w:tcPr>
            <w:tcW w:type="dxa" w:w="1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7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520" w:hRule="atLeast"/>
        </w:trPr>
        <w:tc>
          <w:tcPr>
            <w:tcW w:type="dxa" w:w="1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7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520" w:hRule="atLeast"/>
        </w:trPr>
        <w:tc>
          <w:tcPr>
            <w:tcW w:type="dxa" w:w="16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4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7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bl>
    <w:p>
      <w:pPr>
        <w:pStyle w:val="Heading1"/>
        <w:spacing w:after="120" w:before="260"/>
      </w:pPr>
      <w:r>
        <w:rPr>
          <w:rFonts w:ascii="Calibri" w:cs="Calibri" w:eastAsia="Calibri" w:hAnsi="Calibri"/>
          <w:b/>
          <w:bCs/>
          <w:i w:val="false"/>
          <w:iCs w:val="false"/>
          <w:color w:val="1B3A6B"/>
          <w:sz w:val="24"/>
          <w:szCs w:val="24"/>
        </w:rPr>
        <w:t xml:space="preserve">6. Plan d'actions de prévention</w:t>
      </w:r>
    </w:p>
    <w:p>
      <w:pPr>
        <w:spacing w:after="80"/>
      </w:pPr>
      <w:r>
        <w:rPr>
          <w:rFonts w:ascii="Calibri" w:cs="Calibri" w:eastAsia="Calibri" w:hAnsi="Calibri"/>
          <w:b w:val="false"/>
          <w:bCs w:val="false"/>
          <w:i w:val="false"/>
          <w:iCs w:val="false"/>
          <w:color w:val="27303F"/>
          <w:sz w:val="20"/>
          <w:szCs w:val="20"/>
        </w:rPr>
        <w:t xml:space="preserve">Traiter en priorité les risques les plus élevés. Chaque action porte une mesure concrète, un responsable et une échéance datée. Une mesure sans responsable ni date n'est pas un plan, c'est une intention.</w:t>
      </w:r>
    </w:p>
    <w:p>
      <w:pPr>
        <w:spacing w:after="70"/>
      </w:pPr>
      <w:r>
        <w:rPr>
          <w:rFonts w:ascii="Calibri" w:cs="Calibri" w:eastAsia="Calibri" w:hAnsi="Calibri"/>
          <w:b w:val="false"/>
          <w:bCs w:val="false"/>
          <w:i w:val="false"/>
          <w:iCs w:val="false"/>
          <w:color w:val="27303F"/>
          <w:sz w:val="2"/>
          <w:szCs w:val="2"/>
        </w:rPr>
        <w:t xml:space="preserve"/>
      </w:r>
    </w:p>
    <w:tbl>
      <w:tblPr>
        <w:tblW w:type="dxa" w:w="14678"/>
        <w:tblBorders>
          <w:top w:val="single" w:color="C4CEDC" w:sz="4"/>
          <w:left w:val="single" w:color="C4CEDC" w:sz="4"/>
          <w:bottom w:val="single" w:color="C4CEDC" w:sz="4"/>
          <w:right w:val="single" w:color="C4CEDC" w:sz="4"/>
          <w:insideH w:val="single" w:color="C4CEDC" w:sz="4"/>
          <w:insideV w:val="single" w:color="C4CEDC" w:sz="4"/>
        </w:tblBorders>
        <w:tblLayout w:type="fixed"/>
      </w:tblPr>
      <w:tblGrid>
        <w:gridCol w:w="3200"/>
        <w:gridCol w:w="4500"/>
        <w:gridCol w:w="2200"/>
        <w:gridCol w:w="1800"/>
        <w:gridCol w:w="2978"/>
      </w:tblGrid>
      <w:tr>
        <w:trPr>
          <w:tblHeader/>
        </w:trPr>
        <w:tc>
          <w:tcPr>
            <w:tcW w:type="dxa" w:w="32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Risque prioritaire</w:t>
            </w:r>
          </w:p>
        </w:tc>
        <w:tc>
          <w:tcPr>
            <w:tcW w:type="dxa" w:w="45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Action de prévention</w:t>
            </w:r>
          </w:p>
        </w:tc>
        <w:tc>
          <w:tcPr>
            <w:tcW w:type="dxa" w:w="22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Responsable</w:t>
            </w:r>
          </w:p>
        </w:tc>
        <w:tc>
          <w:tcPr>
            <w:tcW w:type="dxa" w:w="1800"/>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Échéance</w:t>
            </w:r>
          </w:p>
        </w:tc>
        <w:tc>
          <w:tcPr>
            <w:tcW w:type="dxa" w:w="2978"/>
            <w:tcBorders>
              <w:top w:val="single" w:color="C4CEDC" w:sz="4"/>
              <w:left w:val="single" w:color="C4CEDC" w:sz="4"/>
              <w:bottom w:val="single" w:color="C4CEDC" w:sz="4"/>
              <w:right w:val="single" w:color="C4CEDC" w:sz="4"/>
            </w:tcBorders>
            <w:shd w:fill="1B3A6B" w:color="auto" w:val="clear"/>
            <w:tcMar>
              <w:top w:type="dxa" w:w="60"/>
              <w:left w:type="dxa" w:w="100"/>
              <w:bottom w:type="dxa" w:w="60"/>
              <w:right w:type="dxa" w:w="100"/>
            </w:tcMar>
            <w:vAlign w:val="center"/>
          </w:tcPr>
          <w:p>
            <w:pPr>
              <w:spacing w:after="0"/>
              <w:jc w:val="left"/>
            </w:pPr>
            <w:r>
              <w:rPr>
                <w:rFonts w:ascii="Calibri" w:cs="Calibri" w:eastAsia="Calibri" w:hAnsi="Calibri"/>
                <w:b/>
                <w:bCs/>
                <w:i w:val="false"/>
                <w:iCs w:val="false"/>
                <w:color w:val="FFFFFF"/>
                <w:sz w:val="18"/>
                <w:szCs w:val="18"/>
              </w:rPr>
              <w:t xml:space="preserve">État / suivi</w:t>
            </w:r>
          </w:p>
        </w:tc>
      </w:tr>
      <w:tr>
        <w:trPr>
          <w:trHeight w:val="480" w:hRule="atLeast"/>
        </w:trPr>
        <w:tc>
          <w:tcPr>
            <w:tcW w:type="dxa" w:w="3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Fatigue visuelle sur écran (Moyen)</w:t>
            </w:r>
          </w:p>
        </w:tc>
        <w:tc>
          <w:tcPr>
            <w:tcW w:type="dxa" w:w="45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Installer des supports d'écran, planifier des pauses</w:t>
            </w:r>
          </w:p>
        </w:tc>
        <w:tc>
          <w:tcPr>
            <w:tcW w:type="dxa" w:w="2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[nom]</w:t>
            </w:r>
          </w:p>
        </w:tc>
        <w:tc>
          <w:tcPr>
            <w:tcW w:type="dxa" w:w="1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[date]</w:t>
            </w:r>
          </w:p>
        </w:tc>
        <w:tc>
          <w:tcPr>
            <w:tcW w:type="dxa" w:w="29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iCs/>
                <w:color w:val="6B7686"/>
                <w:sz w:val="19"/>
                <w:szCs w:val="19"/>
              </w:rPr>
              <w:t xml:space="preserve">À engager</w:t>
            </w:r>
          </w:p>
        </w:tc>
      </w:tr>
      <w:tr>
        <w:trPr>
          <w:trHeight w:val="480" w:hRule="atLeast"/>
        </w:trPr>
        <w:tc>
          <w:tcPr>
            <w:tcW w:type="dxa" w:w="3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5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480" w:hRule="atLeast"/>
        </w:trPr>
        <w:tc>
          <w:tcPr>
            <w:tcW w:type="dxa" w:w="3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5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480" w:hRule="atLeast"/>
        </w:trPr>
        <w:tc>
          <w:tcPr>
            <w:tcW w:type="dxa" w:w="3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5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480" w:hRule="atLeast"/>
        </w:trPr>
        <w:tc>
          <w:tcPr>
            <w:tcW w:type="dxa" w:w="3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5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480" w:hRule="atLeast"/>
        </w:trPr>
        <w:tc>
          <w:tcPr>
            <w:tcW w:type="dxa" w:w="3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5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480" w:hRule="atLeast"/>
        </w:trPr>
        <w:tc>
          <w:tcPr>
            <w:tcW w:type="dxa" w:w="3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5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480" w:hRule="atLeast"/>
        </w:trPr>
        <w:tc>
          <w:tcPr>
            <w:tcW w:type="dxa" w:w="3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5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r>
        <w:trPr>
          <w:trHeight w:val="480" w:hRule="atLeast"/>
        </w:trPr>
        <w:tc>
          <w:tcPr>
            <w:tcW w:type="dxa" w:w="3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45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2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1800"/>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c>
          <w:tcPr>
            <w:tcW w:type="dxa" w:w="2978"/>
            <w:tcBorders>
              <w:top w:val="single" w:color="C4CEDC" w:sz="4"/>
              <w:left w:val="single" w:color="C4CEDC" w:sz="4"/>
              <w:bottom w:val="single" w:color="C4CEDC" w:sz="4"/>
              <w:right w:val="single" w:color="C4CEDC" w:sz="4"/>
            </w:tcBorders>
            <w:tcMar>
              <w:top w:type="dxa" w:w="60"/>
              <w:left w:type="dxa" w:w="100"/>
              <w:bottom w:type="dxa" w:w="60"/>
              <w:right w:type="dxa" w:w="100"/>
            </w:tcMar>
            <w:vAlign w:val="center"/>
          </w:tcPr>
          <w:p>
            <w:pPr>
              <w:spacing w:after="0"/>
              <w:jc w:val="left"/>
            </w:pPr>
            <w:r>
              <w:rPr>
                <w:rFonts w:ascii="Calibri" w:cs="Calibri" w:eastAsia="Calibri" w:hAnsi="Calibri"/>
                <w:b w:val="false"/>
                <w:bCs w:val="false"/>
                <w:i w:val="false"/>
                <w:iCs w:val="false"/>
                <w:color w:val="27303F"/>
                <w:sz w:val="19"/>
                <w:szCs w:val="19"/>
              </w:rPr>
              <w:t xml:space="preserve"/>
            </w:r>
          </w:p>
        </w:tc>
      </w:tr>
    </w:tbl>
    <w:p>
      <w:pPr>
        <w:pStyle w:val="Heading1"/>
        <w:spacing w:after="120" w:before="260"/>
      </w:pPr>
      <w:r>
        <w:rPr>
          <w:rFonts w:ascii="Calibri" w:cs="Calibri" w:eastAsia="Calibri" w:hAnsi="Calibri"/>
          <w:b/>
          <w:bCs/>
          <w:i w:val="false"/>
          <w:iCs w:val="false"/>
          <w:color w:val="1B3A6B"/>
          <w:sz w:val="24"/>
          <w:szCs w:val="24"/>
        </w:rPr>
        <w:t xml:space="preserve">7. Diffusion, accessibilité et conservation</w:t>
      </w:r>
    </w:p>
    <w:tbl>
      <w:tblPr>
        <w:tblW w:type="dxa" w:w="14678"/>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4678"/>
      </w:tblGrid>
      <w:tr>
        <w:tc>
          <w:tcPr>
            <w:tcW w:type="dxa" w:w="14678"/>
            <w:tcBorders>
              <w:top w:val="none" w:color="FFFFFF" w:sz="0"/>
              <w:left w:val="single" w:color="2F6DF0" w:sz="26"/>
              <w:bottom w:val="none" w:color="FFFFFF" w:sz="0"/>
              <w:right w:val="none" w:color="FFFFFF" w:sz="0"/>
            </w:tcBorders>
            <w:shd w:fill="EAF0FB" w:color="auto" w:val="clear"/>
            <w:tcMar>
              <w:top w:type="dxa" w:w="110"/>
              <w:left w:type="dxa" w:w="150"/>
              <w:bottom w:type="dxa" w:w="110"/>
              <w:right w:type="dxa" w:w="150"/>
            </w:tcMar>
          </w:tcPr>
          <w:p>
            <w:pPr>
              <w:spacing w:after="40"/>
            </w:pPr>
            <w:r>
              <w:rPr>
                <w:rFonts w:ascii="Calibri" w:cs="Calibri" w:eastAsia="Calibri" w:hAnsi="Calibri"/>
                <w:b/>
                <w:bCs/>
                <w:i w:val="false"/>
                <w:iCs w:val="false"/>
                <w:color w:val="2F6DF0"/>
                <w:sz w:val="19"/>
                <w:szCs w:val="19"/>
              </w:rPr>
              <w:t xml:space="preserve">Accessibilité</w:t>
            </w:r>
          </w:p>
          <w:p>
            <w:pPr>
              <w:spacing w:after="0"/>
            </w:pPr>
            <w:r>
              <w:rPr>
                <w:rFonts w:ascii="Calibri" w:cs="Calibri" w:eastAsia="Calibri" w:hAnsi="Calibri"/>
                <w:b w:val="false"/>
                <w:bCs w:val="false"/>
                <w:i w:val="false"/>
                <w:iCs w:val="false"/>
                <w:color w:val="3B475C"/>
                <w:sz w:val="18"/>
                <w:szCs w:val="18"/>
              </w:rPr>
              <w:t xml:space="preserve">Le DUERP est tenu à la disposition des travailleurs et des anciens travailleurs (versions en vigueur durant leur activité), des membres du CSE et de la CSSCT, du service de prévention et de santé au travail, des agents de l'inspection du travail et des agents de prévention des CARSAT.</w:t>
            </w:r>
          </w:p>
        </w:tc>
      </w:tr>
    </w:tbl>
    <w:p>
      <w:pPr>
        <w:spacing w:after="70"/>
      </w:pPr>
      <w:r>
        <w:rPr>
          <w:rFonts w:ascii="Calibri" w:cs="Calibri" w:eastAsia="Calibri" w:hAnsi="Calibri"/>
          <w:b w:val="false"/>
          <w:bCs w:val="false"/>
          <w:i w:val="false"/>
          <w:iCs w:val="false"/>
          <w:color w:val="27303F"/>
          <w:sz w:val="2"/>
          <w:szCs w:val="2"/>
        </w:rPr>
        <w:t xml:space="preserve"/>
      </w:r>
    </w:p>
    <w:tbl>
      <w:tblPr>
        <w:tblW w:type="dxa" w:w="14678"/>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4678"/>
      </w:tblGrid>
      <w:tr>
        <w:tc>
          <w:tcPr>
            <w:tcW w:type="dxa" w:w="14678"/>
            <w:tcBorders>
              <w:top w:val="none" w:color="FFFFFF" w:sz="0"/>
              <w:left w:val="single" w:color="2F6DF0" w:sz="26"/>
              <w:bottom w:val="none" w:color="FFFFFF" w:sz="0"/>
              <w:right w:val="none" w:color="FFFFFF" w:sz="0"/>
            </w:tcBorders>
            <w:shd w:fill="F5F8FE" w:color="auto" w:val="clear"/>
            <w:tcMar>
              <w:top w:type="dxa" w:w="110"/>
              <w:left w:type="dxa" w:w="150"/>
              <w:bottom w:type="dxa" w:w="110"/>
              <w:right w:type="dxa" w:w="150"/>
            </w:tcMar>
          </w:tcPr>
          <w:p>
            <w:pPr>
              <w:spacing w:after="40"/>
            </w:pPr>
            <w:r>
              <w:rPr>
                <w:rFonts w:ascii="Calibri" w:cs="Calibri" w:eastAsia="Calibri" w:hAnsi="Calibri"/>
                <w:b/>
                <w:bCs/>
                <w:i w:val="false"/>
                <w:iCs w:val="false"/>
                <w:color w:val="2F6DF0"/>
                <w:sz w:val="19"/>
                <w:szCs w:val="19"/>
              </w:rPr>
              <w:t xml:space="preserve">Conservation et dépôt</w:t>
            </w:r>
          </w:p>
          <w:p>
            <w:pPr>
              <w:spacing w:after="0"/>
            </w:pPr>
            <w:r>
              <w:rPr>
                <w:rFonts w:ascii="Calibri" w:cs="Calibri" w:eastAsia="Calibri" w:hAnsi="Calibri"/>
                <w:b w:val="false"/>
                <w:bCs w:val="false"/>
                <w:i w:val="false"/>
                <w:iCs w:val="false"/>
                <w:color w:val="3B475C"/>
                <w:sz w:val="18"/>
                <w:szCs w:val="18"/>
              </w:rPr>
              <w:t xml:space="preserve">Chaque version se conserve au minimum 40 ans. Le portail numérique national de dépôt n'étant pas opérationnel à ce jour, l'entreprise conserve ses versions en interne (papier ou numérique) et transmet chaque mise à jour à son service de prévention et de santé au travail.</w:t>
            </w:r>
          </w:p>
        </w:tc>
      </w:tr>
    </w:tbl>
    <w:p>
      <w:pPr>
        <w:spacing w:after="70"/>
      </w:pPr>
      <w:r>
        <w:rPr>
          <w:rFonts w:ascii="Calibri" w:cs="Calibri" w:eastAsia="Calibri" w:hAnsi="Calibri"/>
          <w:b w:val="false"/>
          <w:bCs w:val="false"/>
          <w:i w:val="false"/>
          <w:iCs w:val="false"/>
          <w:color w:val="27303F"/>
          <w:sz w:val="2"/>
          <w:szCs w:val="2"/>
        </w:rPr>
        <w:t xml:space="preserve"/>
      </w:r>
    </w:p>
    <w:tbl>
      <w:tblPr>
        <w:tblW w:type="dxa" w:w="14678"/>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4678"/>
      </w:tblGrid>
      <w:tr>
        <w:tc>
          <w:tcPr>
            <w:tcW w:type="dxa" w:w="14678"/>
            <w:tcBorders>
              <w:top w:val="none" w:color="FFFFFF" w:sz="0"/>
              <w:left w:val="single" w:color="C0492F" w:sz="26"/>
              <w:bottom w:val="none" w:color="FFFFFF" w:sz="0"/>
              <w:right w:val="none" w:color="FFFFFF" w:sz="0"/>
            </w:tcBorders>
            <w:shd w:fill="FBE0DB" w:color="auto" w:val="clear"/>
            <w:tcMar>
              <w:top w:type="dxa" w:w="110"/>
              <w:left w:type="dxa" w:w="150"/>
              <w:bottom w:type="dxa" w:w="110"/>
              <w:right w:type="dxa" w:w="150"/>
            </w:tcMar>
          </w:tcPr>
          <w:p>
            <w:pPr>
              <w:spacing w:after="40"/>
            </w:pPr>
            <w:r>
              <w:rPr>
                <w:rFonts w:ascii="Calibri" w:cs="Calibri" w:eastAsia="Calibri" w:hAnsi="Calibri"/>
                <w:b/>
                <w:bCs/>
                <w:i w:val="false"/>
                <w:iCs w:val="false"/>
                <w:color w:val="C0492F"/>
                <w:sz w:val="19"/>
                <w:szCs w:val="19"/>
              </w:rPr>
              <w:t xml:space="preserve">Sanctions encourues</w:t>
            </w:r>
          </w:p>
          <w:p>
            <w:pPr>
              <w:spacing w:after="0"/>
            </w:pPr>
            <w:r>
              <w:rPr>
                <w:rFonts w:ascii="Calibri" w:cs="Calibri" w:eastAsia="Calibri" w:hAnsi="Calibri"/>
                <w:b w:val="false"/>
                <w:bCs w:val="false"/>
                <w:i w:val="false"/>
                <w:iCs w:val="false"/>
                <w:color w:val="3B475C"/>
                <w:sz w:val="18"/>
                <w:szCs w:val="18"/>
              </w:rPr>
              <w:t xml:space="preserve">L'absence de DUERP ou son défaut de mise à jour expose l'employeur à une contravention (1 500 € pour une personne physique, 7 500 € pour une personne morale, doublées en récidive). Depuis la loi du 25 juin 2026 relative à la lutte contre les fraudes sociales et fiscales, une amende administrative pouvant atteindre 4 000 € par salarié concerné s'y ajoute (décret d'application attendu). En cas d'accident, l'absence de risque identifié caractérise la faute inexcusable de l'employeur.</w:t>
            </w:r>
          </w:p>
        </w:tc>
      </w:tr>
    </w:tbl>
    <w:p>
      <w:pPr>
        <w:spacing w:after="140"/>
      </w:pPr>
      <w:r>
        <w:rPr>
          <w:rFonts w:ascii="Calibri" w:cs="Calibri" w:eastAsia="Calibri" w:hAnsi="Calibri"/>
          <w:b w:val="false"/>
          <w:bCs w:val="false"/>
          <w:i w:val="false"/>
          <w:iCs w:val="false"/>
          <w:color w:val="27303F"/>
          <w:sz w:val="2"/>
          <w:szCs w:val="2"/>
        </w:rPr>
        <w:t xml:space="preserve"/>
      </w:r>
    </w:p>
    <w:p>
      <w:pPr>
        <w:spacing w:after="0"/>
      </w:pPr>
      <w:r>
        <w:rPr>
          <w:rFonts w:ascii="Calibri" w:cs="Calibri" w:eastAsia="Calibri" w:hAnsi="Calibri"/>
          <w:b w:val="false"/>
          <w:bCs w:val="false"/>
          <w:i w:val="false"/>
          <w:iCs w:val="false"/>
          <w:color w:val="27303F"/>
          <w:sz w:val="20"/>
          <w:szCs w:val="20"/>
        </w:rPr>
        <w:t xml:space="preserve">Fait à </w:t>
      </w:r>
      <w:r>
        <w:rPr>
          <w:rFonts w:ascii="Calibri" w:cs="Calibri" w:eastAsia="Calibri" w:hAnsi="Calibri"/>
          <w:b w:val="false"/>
          <w:bCs w:val="false"/>
          <w:i w:val="false"/>
          <w:iCs w:val="false"/>
          <w:color w:val="6B7686"/>
          <w:sz w:val="20"/>
          <w:szCs w:val="20"/>
        </w:rPr>
        <w:t xml:space="preserve">...............................</w:t>
      </w:r>
      <w:r>
        <w:rPr>
          <w:rFonts w:ascii="Calibri" w:cs="Calibri" w:eastAsia="Calibri" w:hAnsi="Calibri"/>
          <w:b w:val="false"/>
          <w:bCs w:val="false"/>
          <w:i w:val="false"/>
          <w:iCs w:val="false"/>
          <w:color w:val="27303F"/>
          <w:sz w:val="20"/>
          <w:szCs w:val="20"/>
        </w:rPr>
        <w:t xml:space="preserve">   le </w:t>
      </w:r>
      <w:r>
        <w:rPr>
          <w:rFonts w:ascii="Calibri" w:cs="Calibri" w:eastAsia="Calibri" w:hAnsi="Calibri"/>
          <w:b w:val="false"/>
          <w:bCs w:val="false"/>
          <w:i w:val="false"/>
          <w:iCs w:val="false"/>
          <w:color w:val="6B7686"/>
          <w:sz w:val="20"/>
          <w:szCs w:val="20"/>
        </w:rPr>
        <w:t xml:space="preserve">...............................</w:t>
      </w:r>
      <w:r>
        <w:rPr>
          <w:rFonts w:ascii="Calibri" w:cs="Calibri" w:eastAsia="Calibri" w:hAnsi="Calibri"/>
          <w:b w:val="false"/>
          <w:bCs w:val="false"/>
          <w:i w:val="false"/>
          <w:iCs w:val="false"/>
          <w:color w:val="27303F"/>
          <w:sz w:val="20"/>
          <w:szCs w:val="20"/>
        </w:rPr>
        <w:t xml:space="preserve">        Signature de l'employeur : </w:t>
      </w:r>
    </w:p>
    <w:sectPr>
      <w:footerReference w:type="default" r:id="rId8"/>
      <w:pgSz w:w="16838" w:h="11906" w:orient="landscape"/>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Calibri" w:cs="Calibri" w:eastAsia="Calibri" w:hAnsi="Calibri"/>
        <w:b w:val="false"/>
        <w:bCs w:val="false"/>
        <w:i w:val="false"/>
        <w:iCs w:val="false"/>
        <w:color w:val="6B7686"/>
        <w:sz w:val="16"/>
        <w:szCs w:val="16"/>
      </w:rPr>
      <w:t xml:space="preserve">duerp-facile.org · Trame DUERP à compléter · Page </w:t>
    </w:r>
    <w:r>
      <w:rPr>
        <w:rFonts w:ascii="Calibri" w:cs="Calibri" w:eastAsia="Calibri" w:hAnsi="Calibri"/>
        <w:color w:val="6B7686"/>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Calibri" w:cs="Calibri" w:eastAsia="Calibri" w:hAnsi="Calibri"/>
        <w:b w:val="false"/>
        <w:bCs w:val="false"/>
        <w:i w:val="false"/>
        <w:iCs w:val="false"/>
        <w:color w:val="6B7686"/>
        <w:sz w:val="16"/>
        <w:szCs w:val="16"/>
      </w:rPr>
      <w:t xml:space="preserve">duerp-facile.org · Trame DUERP à compléter · Page </w:t>
    </w:r>
    <w:r>
      <w:rPr>
        <w:rFonts w:ascii="Calibri" w:cs="Calibri" w:eastAsia="Calibri" w:hAnsi="Calibri"/>
        <w:color w:val="6B768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7303F"/>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2026-07-01T08:24:53.512Z</dcterms:created>
  <dcterms:modified xsi:type="dcterms:W3CDTF">2026-07-01T08:24:53.512Z</dcterms:modified>
</cp:coreProperties>
</file>

<file path=docProps/custom.xml><?xml version="1.0" encoding="utf-8"?>
<Properties xmlns="http://schemas.openxmlformats.org/officeDocument/2006/custom-properties" xmlns:vt="http://schemas.openxmlformats.org/officeDocument/2006/docPropsVTypes"/>
</file>